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F4265" w14:textId="09FD5461" w:rsidR="00841BCD" w:rsidRPr="00614DD8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88368D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TSG-RAN WG4 Meeting #111</w:t>
      </w:r>
      <w:r w:rsidR="00841BCD" w:rsidRPr="00614DD8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841BCD" w:rsidRPr="00614DD8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ja-JP"/>
        </w:rPr>
        <w:t>R4-</w:t>
      </w:r>
      <w:r w:rsidR="00AE2BA5" w:rsidRPr="000E10F6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2</w:t>
      </w:r>
      <w:r w:rsidR="00E51930" w:rsidRPr="000E10F6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4</w:t>
      </w:r>
      <w:r w:rsidR="003863D2" w:rsidRPr="000E10F6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0</w:t>
      </w:r>
      <w:r w:rsidR="000E10F6" w:rsidRPr="000E10F6">
        <w:rPr>
          <w:rFonts w:ascii="Arial" w:eastAsia="SimSun" w:hAnsi="Arial" w:cs="Times New Roman"/>
          <w:b/>
          <w:bCs/>
          <w:sz w:val="24"/>
          <w:szCs w:val="20"/>
          <w:highlight w:val="yellow"/>
          <w:lang w:val="en-US" w:eastAsia="zh-CN"/>
        </w:rPr>
        <w:t>7153</w:t>
      </w:r>
    </w:p>
    <w:p w14:paraId="1022F602" w14:textId="2D1A1528" w:rsidR="00841BCD" w:rsidRPr="00614DD8" w:rsidRDefault="0088368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 w:rsidRPr="0088368D">
        <w:rPr>
          <w:rFonts w:ascii="Arial" w:eastAsia="SimSun" w:hAnsi="Arial" w:cs="Times New Roman"/>
          <w:b/>
          <w:sz w:val="24"/>
          <w:szCs w:val="20"/>
          <w:lang w:val="en-US"/>
        </w:rPr>
        <w:t>Fukuoka, Japan, 20 May 2024 - 24 May 2024</w:t>
      </w:r>
    </w:p>
    <w:bookmarkEnd w:id="0"/>
    <w:bookmarkEnd w:id="1"/>
    <w:p w14:paraId="284471FC" w14:textId="77777777" w:rsidR="00841BCD" w:rsidRPr="00614DD8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4D5A06B" w14:textId="7FC91E14" w:rsidR="00841BCD" w:rsidRPr="00614DD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040DE6">
        <w:rPr>
          <w:rFonts w:ascii="Arial" w:eastAsia="Calibri" w:hAnsi="Arial" w:cs="Arial"/>
          <w:b/>
          <w:bCs/>
          <w:sz w:val="24"/>
          <w:lang w:val="en-US"/>
        </w:rPr>
        <w:t>Charter</w:t>
      </w:r>
      <w:r w:rsidR="00142BF7">
        <w:rPr>
          <w:rFonts w:ascii="Arial" w:eastAsia="Calibri" w:hAnsi="Arial" w:cs="Arial"/>
          <w:b/>
          <w:bCs/>
          <w:sz w:val="24"/>
          <w:lang w:val="en-US"/>
        </w:rPr>
        <w:t xml:space="preserve"> Communications</w:t>
      </w:r>
    </w:p>
    <w:p w14:paraId="72781AD6" w14:textId="7E980422" w:rsidR="00841BCD" w:rsidRPr="00614DD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E462C9">
        <w:rPr>
          <w:b/>
          <w:sz w:val="24"/>
        </w:rPr>
        <w:t xml:space="preserve">Region limitations </w:t>
      </w:r>
      <w:r w:rsidR="00040DE6">
        <w:rPr>
          <w:b/>
          <w:sz w:val="24"/>
        </w:rPr>
        <w:t>for Sub</w:t>
      </w:r>
      <w:r w:rsidR="00CB5E96">
        <w:rPr>
          <w:b/>
          <w:sz w:val="24"/>
        </w:rPr>
        <w:t>-</w:t>
      </w:r>
      <w:r w:rsidR="00040DE6">
        <w:rPr>
          <w:b/>
          <w:sz w:val="24"/>
        </w:rPr>
        <w:t>band Full Duplex</w:t>
      </w:r>
    </w:p>
    <w:p w14:paraId="04AA6826" w14:textId="39D1CF77" w:rsidR="00841BCD" w:rsidRPr="00E462C9" w:rsidRDefault="00841BCD" w:rsidP="00841BCD">
      <w:pPr>
        <w:tabs>
          <w:tab w:val="left" w:pos="1985"/>
        </w:tabs>
        <w:spacing w:after="120" w:line="240" w:lineRule="auto"/>
        <w:rPr>
          <w:rFonts w:asciiTheme="majorHAnsi" w:eastAsia="MS Mincho" w:hAnsiTheme="majorHAnsi" w:cstheme="majorHAnsi"/>
          <w:b/>
          <w:bCs/>
          <w:sz w:val="21"/>
          <w:szCs w:val="21"/>
          <w:lang w:val="en-US"/>
        </w:rPr>
      </w:pP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614DD8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E462C9" w:rsidRPr="002F3DD9">
        <w:rPr>
          <w:rFonts w:asciiTheme="minorBidi" w:eastAsia="MS Mincho" w:hAnsiTheme="minorBidi"/>
          <w:b/>
          <w:bCs/>
          <w:szCs w:val="20"/>
          <w:lang w:val="en-US"/>
        </w:rPr>
        <w:t>10.12 Evolution of NR duplex operation: Sub-band full duplex</w:t>
      </w:r>
      <w:r w:rsidR="00E462C9" w:rsidRPr="002F3DD9">
        <w:rPr>
          <w:rFonts w:asciiTheme="minorBidi" w:eastAsia="MS Mincho" w:hAnsiTheme="minorBidi"/>
          <w:b/>
          <w:bCs/>
          <w:noProof/>
          <w:szCs w:val="20"/>
          <w:lang w:val="en-US"/>
        </w:rPr>
        <w:t xml:space="preserve"> [NR_duplex_evo]</w:t>
      </w:r>
      <w:r w:rsidR="00906D3F" w:rsidRPr="002F3DD9">
        <w:rPr>
          <w:rFonts w:asciiTheme="majorHAnsi" w:eastAsia="MS Mincho" w:hAnsiTheme="majorHAnsi" w:cstheme="majorHAnsi"/>
          <w:b/>
          <w:bCs/>
          <w:noProof/>
          <w:szCs w:val="20"/>
          <w:lang w:val="en-US"/>
        </w:rPr>
        <w:t xml:space="preserve"> </w:t>
      </w:r>
      <w:r w:rsidR="00906D3F" w:rsidRPr="002F3DD9">
        <w:rPr>
          <w:rFonts w:asciiTheme="majorHAnsi" w:eastAsia="MS Mincho" w:hAnsiTheme="majorHAnsi" w:cstheme="majorHAnsi"/>
          <w:b/>
          <w:bCs/>
          <w:szCs w:val="20"/>
          <w:lang w:val="en-US"/>
        </w:rPr>
        <w:t xml:space="preserve">  </w:t>
      </w:r>
    </w:p>
    <w:p w14:paraId="186A3C92" w14:textId="7A0970C0" w:rsidR="00D66188" w:rsidRPr="00614DD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614DD8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614DD8">
        <w:rPr>
          <w:rFonts w:ascii="Arial" w:eastAsia="Calibri" w:hAnsi="Arial" w:cs="Arial"/>
          <w:b/>
          <w:bCs/>
          <w:sz w:val="24"/>
          <w:lang w:val="en-US"/>
        </w:rPr>
        <w:tab/>
      </w:r>
      <w:r w:rsidR="00AB3EAF">
        <w:rPr>
          <w:rFonts w:ascii="Arial" w:eastAsia="Calibri" w:hAnsi="Arial" w:cs="Arial"/>
          <w:b/>
          <w:bCs/>
          <w:sz w:val="24"/>
          <w:lang w:val="en-US"/>
        </w:rPr>
        <w:t>Agreement</w:t>
      </w:r>
    </w:p>
    <w:p w14:paraId="3EA25A72" w14:textId="77777777" w:rsidR="00E323E9" w:rsidRPr="00614DD8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</w:p>
    <w:p w14:paraId="7574A419" w14:textId="77777777" w:rsidR="00841BCD" w:rsidRPr="00614DD8" w:rsidRDefault="00841BCD" w:rsidP="00A37002">
      <w:pPr>
        <w:pStyle w:val="RAN4H1"/>
        <w:rPr>
          <w:lang w:val="en-US"/>
        </w:rPr>
      </w:pPr>
      <w:bookmarkStart w:id="2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2"/>
    </w:p>
    <w:p w14:paraId="3C66B613" w14:textId="528119AE" w:rsidR="00E462C9" w:rsidRDefault="00040DE6" w:rsidP="00E462C9">
      <w:pPr>
        <w:rPr>
          <w:lang w:val="en-US"/>
        </w:rPr>
      </w:pPr>
      <w:r w:rsidRPr="00040DE6">
        <w:rPr>
          <w:lang w:val="en-US"/>
        </w:rPr>
        <w:t xml:space="preserve">In </w:t>
      </w:r>
      <w:r w:rsidR="00E462C9">
        <w:rPr>
          <w:lang w:val="en-US"/>
        </w:rPr>
        <w:t>most regions SBFD operation can work safely side by side with legacy TDD. However, in some special regions like the USA</w:t>
      </w:r>
      <w:r w:rsidR="0088368D">
        <w:rPr>
          <w:lang w:val="en-US"/>
        </w:rPr>
        <w:t>,</w:t>
      </w:r>
      <w:r w:rsidR="00E462C9">
        <w:rPr>
          <w:lang w:val="en-US"/>
        </w:rPr>
        <w:t xml:space="preserve"> SBFD </w:t>
      </w:r>
      <w:r w:rsidR="0088368D">
        <w:rPr>
          <w:lang w:val="en-US"/>
        </w:rPr>
        <w:t>is expected to</w:t>
      </w:r>
      <w:r w:rsidR="00E462C9">
        <w:rPr>
          <w:lang w:val="en-US"/>
        </w:rPr>
        <w:t xml:space="preserve"> create </w:t>
      </w:r>
      <w:r w:rsidR="002B3DCB">
        <w:rPr>
          <w:lang w:val="en-US"/>
        </w:rPr>
        <w:t>severe</w:t>
      </w:r>
      <w:r w:rsidR="00E462C9">
        <w:rPr>
          <w:lang w:val="en-US"/>
        </w:rPr>
        <w:t xml:space="preserve"> degradation to legacy TDD operations. The reason for this special </w:t>
      </w:r>
      <w:r w:rsidR="0088368D">
        <w:rPr>
          <w:lang w:val="en-US"/>
        </w:rPr>
        <w:t xml:space="preserve">case is that TDD operation in CBRS band is limited in the USA to low </w:t>
      </w:r>
      <w:r w:rsidR="0088368D">
        <w:rPr>
          <w:noProof/>
          <w:lang w:val="en-US"/>
        </w:rPr>
        <w:t>gNb</w:t>
      </w:r>
      <w:r w:rsidR="0088368D">
        <w:rPr>
          <w:lang w:val="en-US"/>
        </w:rPr>
        <w:t xml:space="preserve"> power micro-cells, and the adjacent bands namely</w:t>
      </w:r>
      <w:r w:rsidR="002F3DD9">
        <w:rPr>
          <w:lang w:val="en-US"/>
        </w:rPr>
        <w:t>,</w:t>
      </w:r>
      <w:r w:rsidR="0088368D">
        <w:rPr>
          <w:lang w:val="en-US"/>
        </w:rPr>
        <w:t xml:space="preserve"> AMBIT, and C-band can use 30 dB higher power Macro-cells.</w:t>
      </w:r>
    </w:p>
    <w:p w14:paraId="0E8CB666" w14:textId="77777777" w:rsidR="0088368D" w:rsidRDefault="0088368D" w:rsidP="00E462C9">
      <w:pPr>
        <w:rPr>
          <w:lang w:val="en-US"/>
        </w:rPr>
      </w:pPr>
    </w:p>
    <w:p w14:paraId="40D6229F" w14:textId="77777777" w:rsidR="003B659E" w:rsidRPr="00614DD8" w:rsidRDefault="003B659E" w:rsidP="00AE56B1">
      <w:pPr>
        <w:pStyle w:val="RAN4H1"/>
        <w:rPr>
          <w:lang w:val="en-US"/>
        </w:rPr>
      </w:pPr>
      <w:bookmarkStart w:id="3" w:name="_Toc116995842"/>
      <w:r w:rsidRPr="00614DD8">
        <w:rPr>
          <w:lang w:val="en-US"/>
        </w:rPr>
        <w:t>Discussion</w:t>
      </w:r>
      <w:bookmarkEnd w:id="3"/>
    </w:p>
    <w:p w14:paraId="2584E792" w14:textId="27F8E878" w:rsidR="00500703" w:rsidRDefault="000D6B52" w:rsidP="00CB5E96">
      <w:r>
        <w:t xml:space="preserve">A </w:t>
      </w:r>
      <w:r w:rsidR="00A22A23">
        <w:t xml:space="preserve">recent </w:t>
      </w:r>
      <w:r w:rsidR="008E1AEC">
        <w:t>coexistence</w:t>
      </w:r>
      <w:r>
        <w:t xml:space="preserve"> study [1]</w:t>
      </w:r>
      <w:r w:rsidR="008E1AEC">
        <w:t xml:space="preserve"> between two</w:t>
      </w:r>
      <w:r w:rsidR="0099732D">
        <w:t xml:space="preserve"> adjacent</w:t>
      </w:r>
      <w:r w:rsidR="008E1AEC">
        <w:t xml:space="preserve"> </w:t>
      </w:r>
      <w:r w:rsidR="0099732D">
        <w:t>carriers</w:t>
      </w:r>
      <w:r w:rsidR="008E1AEC">
        <w:t xml:space="preserve"> </w:t>
      </w:r>
      <w:r>
        <w:t>show</w:t>
      </w:r>
      <w:r w:rsidR="008E1AEC">
        <w:t>ed</w:t>
      </w:r>
      <w:r>
        <w:t xml:space="preserve"> that both </w:t>
      </w:r>
      <w:r w:rsidR="0099732D">
        <w:t xml:space="preserve">the </w:t>
      </w:r>
      <w:r>
        <w:t xml:space="preserve">SBFD </w:t>
      </w:r>
      <w:r w:rsidR="0099732D">
        <w:t>network</w:t>
      </w:r>
      <w:r>
        <w:t xml:space="preserve"> and </w:t>
      </w:r>
      <w:r w:rsidR="0099732D">
        <w:t>the l</w:t>
      </w:r>
      <w:r>
        <w:t xml:space="preserve">egacy-TDD </w:t>
      </w:r>
      <w:r w:rsidR="0099732D">
        <w:t>network</w:t>
      </w:r>
      <w:r>
        <w:t xml:space="preserve"> will face </w:t>
      </w:r>
      <w:r w:rsidRPr="002B3DCB">
        <w:rPr>
          <w:lang w:val="en-US"/>
        </w:rPr>
        <w:t>severe</w:t>
      </w:r>
      <w:r>
        <w:t xml:space="preserve"> degradation due to adjacent-channel interference. The study shows that </w:t>
      </w:r>
      <w:r w:rsidR="008E1AEC">
        <w:t>adjacent-channel-</w:t>
      </w:r>
      <w:r w:rsidR="00100633">
        <w:t>interference</w:t>
      </w:r>
      <w:r>
        <w:t xml:space="preserve"> may </w:t>
      </w:r>
      <w:r w:rsidR="00500703">
        <w:t xml:space="preserve">appear in </w:t>
      </w:r>
      <w:r w:rsidRPr="000D6B52">
        <w:t xml:space="preserve">both UL and DL, causing both </w:t>
      </w:r>
      <w:r w:rsidRPr="000D6B52">
        <w:rPr>
          <w:noProof/>
        </w:rPr>
        <w:t>gNb-to-gNb</w:t>
      </w:r>
      <w:r w:rsidRPr="000D6B52">
        <w:t xml:space="preserve"> and UE-to-UE interference, and may happen in both scenarios, when the Aggressor </w:t>
      </w:r>
      <w:r w:rsidR="00500703">
        <w:sym w:font="Wingdings" w:char="F0E0"/>
      </w:r>
      <w:r w:rsidRPr="000D6B52">
        <w:t>Victim is TDD</w:t>
      </w:r>
      <w:r w:rsidR="00500703">
        <w:sym w:font="Wingdings" w:char="F0E0"/>
      </w:r>
      <w:r w:rsidR="00500703">
        <w:t xml:space="preserve"> </w:t>
      </w:r>
      <w:r w:rsidRPr="000D6B52">
        <w:t xml:space="preserve">SBFD and when the Aggressor </w:t>
      </w:r>
      <w:r w:rsidR="00500703">
        <w:sym w:font="Wingdings" w:char="F0E0"/>
      </w:r>
      <w:r w:rsidRPr="000D6B52">
        <w:t>Victim is SBFD</w:t>
      </w:r>
      <w:r w:rsidR="00500703">
        <w:sym w:font="Wingdings" w:char="F0E0"/>
      </w:r>
      <w:r w:rsidRPr="000D6B52">
        <w:t>TDD.</w:t>
      </w:r>
      <w:r w:rsidR="00E674BF">
        <w:t xml:space="preserve"> </w:t>
      </w:r>
    </w:p>
    <w:p w14:paraId="6AC2CE46" w14:textId="77777777" w:rsidR="00906D3F" w:rsidRDefault="00906D3F" w:rsidP="0010024C"/>
    <w:p w14:paraId="3F120728" w14:textId="7C938A08" w:rsidR="00E358FA" w:rsidRDefault="00E358FA" w:rsidP="00E358FA"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The study in [1] shows that adjacent-channel interference between two adjacent carriers degrades throughput performance due to SBFD operation adjacent to a second legacy TDD operator and can create s</w:t>
      </w:r>
      <w:r w:rsidR="002B3DCB">
        <w:t>e</w:t>
      </w:r>
      <w:r>
        <w:t>ver</w:t>
      </w:r>
      <w:r w:rsidR="002B3DCB">
        <w:t>e</w:t>
      </w:r>
      <w:r>
        <w:t xml:space="preserve"> </w:t>
      </w:r>
      <w:r w:rsidRPr="000D6B52">
        <w:rPr>
          <w:noProof/>
        </w:rPr>
        <w:t>gNb-to-gNb</w:t>
      </w:r>
      <w:r w:rsidRPr="000D6B52">
        <w:t xml:space="preserve"> </w:t>
      </w:r>
      <w:r>
        <w:t xml:space="preserve">as well </w:t>
      </w:r>
      <w:r w:rsidRPr="000D6B52">
        <w:t>UE-to-UE</w:t>
      </w:r>
      <w:r>
        <w:t xml:space="preserve"> interference. </w:t>
      </w:r>
    </w:p>
    <w:p w14:paraId="693308A9" w14:textId="0F42394E" w:rsidR="00A22A23" w:rsidRDefault="00A22A23" w:rsidP="00A22A23">
      <w:r>
        <w:br/>
      </w:r>
      <w:r w:rsidR="002F3DD9">
        <w:rPr>
          <w:b/>
          <w:bCs/>
        </w:rPr>
        <w:t xml:space="preserve">Proposal </w:t>
      </w:r>
      <w:r w:rsidR="002F3DD9" w:rsidRPr="00906D3F">
        <w:rPr>
          <w:b/>
          <w:bCs/>
        </w:rPr>
        <w:t>1:</w:t>
      </w:r>
      <w:r w:rsidR="002F3DD9">
        <w:t xml:space="preserve">   We propose to add in the TR (SBFD Technical Report) a statement that says “</w:t>
      </w:r>
      <w:r w:rsidR="002F3DD9" w:rsidRPr="002F3DD9">
        <w:t xml:space="preserve">In most regions SBFD operation can work safely side by side with legacy TDD. </w:t>
      </w:r>
      <w:r w:rsidR="000E10F6" w:rsidRPr="002F3DD9">
        <w:t xml:space="preserve">However, in some special regions like the </w:t>
      </w:r>
      <w:r w:rsidR="000E10F6">
        <w:t xml:space="preserve">in </w:t>
      </w:r>
      <w:r w:rsidR="000E10F6" w:rsidRPr="002F3DD9">
        <w:t xml:space="preserve">USA, SBFD is expected to create </w:t>
      </w:r>
      <w:r w:rsidR="002B3DCB">
        <w:t>severe</w:t>
      </w:r>
      <w:r w:rsidR="000E10F6" w:rsidRPr="002F3DD9">
        <w:t xml:space="preserve"> degradation to legacy TDD operati</w:t>
      </w:r>
      <w:r w:rsidR="000E10F6">
        <w:t>ng in CBRS band</w:t>
      </w:r>
      <w:r w:rsidR="000E10F6" w:rsidRPr="002F3DD9">
        <w:t xml:space="preserve">. The reason for this special case is that TDD operation </w:t>
      </w:r>
      <w:r w:rsidR="000E10F6">
        <w:t>like for example, the</w:t>
      </w:r>
      <w:r w:rsidR="000E10F6" w:rsidRPr="002F3DD9">
        <w:t xml:space="preserve"> </w:t>
      </w:r>
      <w:r w:rsidR="000E10F6">
        <w:t xml:space="preserve">USA </w:t>
      </w:r>
      <w:r w:rsidR="000E10F6" w:rsidRPr="002F3DD9">
        <w:t>CBRS band</w:t>
      </w:r>
      <w:r w:rsidR="000E10F6">
        <w:t>,</w:t>
      </w:r>
      <w:r w:rsidR="000E10F6" w:rsidRPr="002F3DD9">
        <w:t xml:space="preserve"> is limited to low </w:t>
      </w:r>
      <w:r w:rsidR="000E10F6" w:rsidRPr="002F3DD9">
        <w:rPr>
          <w:noProof/>
        </w:rPr>
        <w:t>gNb</w:t>
      </w:r>
      <w:r w:rsidR="000E10F6" w:rsidRPr="002F3DD9">
        <w:t xml:space="preserve"> power micro-cells, and the adjacent bands namely</w:t>
      </w:r>
      <w:r w:rsidR="000E10F6">
        <w:t>,</w:t>
      </w:r>
      <w:r w:rsidR="000E10F6" w:rsidRPr="002F3DD9">
        <w:t xml:space="preserve"> AMBIT, and C-band can use 30 dB higher power Macro-cells.</w:t>
      </w:r>
      <w:r w:rsidR="000E10F6">
        <w:t xml:space="preserve"> In these special regions SBFD should be expected to coexist fairly with legacy TDD.</w:t>
      </w:r>
      <w:r w:rsidR="00E358FA">
        <w:t>” This comment can be added to section 12.2.1 in TR 38.858 and/or section 11.</w:t>
      </w:r>
    </w:p>
    <w:p w14:paraId="0FFFD13E" w14:textId="49A0B149" w:rsidR="00E358FA" w:rsidRDefault="00E358FA" w:rsidP="00E358FA">
      <w:bookmarkStart w:id="4" w:name="_Toc116995848"/>
      <w:r>
        <w:rPr>
          <w:b/>
          <w:bCs/>
        </w:rPr>
        <w:t xml:space="preserve">Proposal </w:t>
      </w:r>
      <w:r>
        <w:rPr>
          <w:b/>
          <w:bCs/>
        </w:rPr>
        <w:t>2</w:t>
      </w:r>
      <w:r w:rsidRPr="00906D3F">
        <w:rPr>
          <w:b/>
          <w:bCs/>
        </w:rPr>
        <w:t>:</w:t>
      </w:r>
      <w:r>
        <w:t xml:space="preserve">   We propose to add in the </w:t>
      </w:r>
      <w:r>
        <w:t>TS 38.104 s similar statem</w:t>
      </w:r>
      <w:r w:rsidR="002B3DCB">
        <w:t>ent as well.</w:t>
      </w:r>
    </w:p>
    <w:p w14:paraId="469E6E5A" w14:textId="77777777" w:rsidR="002575D2" w:rsidRPr="0028111B" w:rsidRDefault="002575D2" w:rsidP="002575D2"/>
    <w:p w14:paraId="3A46EEA9" w14:textId="77777777" w:rsidR="00CD7492" w:rsidRPr="00614DD8" w:rsidRDefault="00CD7492" w:rsidP="00A37002">
      <w:pPr>
        <w:pStyle w:val="RAN4H1"/>
        <w:rPr>
          <w:lang w:val="en-US"/>
        </w:rPr>
      </w:pPr>
      <w:r w:rsidRPr="00614DD8">
        <w:rPr>
          <w:lang w:val="en-US"/>
        </w:rPr>
        <w:t>Conclusion</w:t>
      </w:r>
      <w:bookmarkEnd w:id="4"/>
    </w:p>
    <w:p w14:paraId="016207AC" w14:textId="77777777" w:rsidR="00381F95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Observations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Proposals were made:</w:t>
      </w:r>
    </w:p>
    <w:p w14:paraId="7CB779DE" w14:textId="77777777" w:rsidR="002473DA" w:rsidRPr="00614DD8" w:rsidRDefault="002473DA" w:rsidP="00936159">
      <w:pPr>
        <w:rPr>
          <w:lang w:val="en-US"/>
        </w:rPr>
      </w:pPr>
    </w:p>
    <w:p w14:paraId="6DB62F8E" w14:textId="7056B668" w:rsidR="002B3DCB" w:rsidRDefault="002B3DCB" w:rsidP="002B3DCB">
      <w:bookmarkStart w:id="5" w:name="_Toc116995849"/>
      <w:r w:rsidRPr="00906D3F">
        <w:rPr>
          <w:b/>
          <w:bCs/>
        </w:rPr>
        <w:t>Observation</w:t>
      </w:r>
      <w:r>
        <w:rPr>
          <w:b/>
          <w:bCs/>
        </w:rPr>
        <w:t xml:space="preserve"> </w:t>
      </w:r>
      <w:r w:rsidRPr="00906D3F">
        <w:rPr>
          <w:b/>
          <w:bCs/>
        </w:rPr>
        <w:t>1:</w:t>
      </w:r>
      <w:r>
        <w:rPr>
          <w:b/>
          <w:bCs/>
        </w:rPr>
        <w:t xml:space="preserve">  </w:t>
      </w:r>
      <w:r>
        <w:t xml:space="preserve"> The study in [1] shows that adjacent-channel interference between two adjacent carriers degrades throughput performance due to SBFD operation adjacent to a second legacy TDD operator and can create s</w:t>
      </w:r>
      <w:r>
        <w:t>e</w:t>
      </w:r>
      <w:r>
        <w:t>ver</w:t>
      </w:r>
      <w:r>
        <w:t>e</w:t>
      </w:r>
      <w:r>
        <w:t xml:space="preserve"> </w:t>
      </w:r>
      <w:r w:rsidRPr="000D6B52">
        <w:rPr>
          <w:noProof/>
        </w:rPr>
        <w:t>gNb-to-gNb</w:t>
      </w:r>
      <w:r w:rsidRPr="000D6B52">
        <w:t xml:space="preserve"> </w:t>
      </w:r>
      <w:r>
        <w:t xml:space="preserve">as well </w:t>
      </w:r>
      <w:r w:rsidRPr="000D6B52">
        <w:t>UE-to-UE</w:t>
      </w:r>
      <w:r>
        <w:t xml:space="preserve"> interference. </w:t>
      </w:r>
    </w:p>
    <w:p w14:paraId="014B49B5" w14:textId="3E55DEFE" w:rsidR="002B3DCB" w:rsidRDefault="002B3DCB" w:rsidP="002B3DCB">
      <w:r>
        <w:lastRenderedPageBreak/>
        <w:br/>
      </w:r>
      <w:r>
        <w:rPr>
          <w:b/>
          <w:bCs/>
        </w:rPr>
        <w:t xml:space="preserve">Proposal </w:t>
      </w:r>
      <w:r w:rsidRPr="00906D3F">
        <w:rPr>
          <w:b/>
          <w:bCs/>
        </w:rPr>
        <w:t>1:</w:t>
      </w:r>
      <w:r>
        <w:t xml:space="preserve">   We propose to add in the TR (SBFD Technical Report) a statement that says “</w:t>
      </w:r>
      <w:r w:rsidRPr="002F3DD9">
        <w:t xml:space="preserve">In most regions SBFD operation can work safely side by side with legacy TDD. However, in some special regions like the </w:t>
      </w:r>
      <w:r>
        <w:t xml:space="preserve">in </w:t>
      </w:r>
      <w:r w:rsidRPr="002F3DD9">
        <w:t xml:space="preserve">USA, SBFD is expected to create </w:t>
      </w:r>
      <w:r>
        <w:t>severe</w:t>
      </w:r>
      <w:r w:rsidRPr="002F3DD9">
        <w:t xml:space="preserve"> degradation to legacy TDD operati</w:t>
      </w:r>
      <w:r>
        <w:t>ng in CBRS band</w:t>
      </w:r>
      <w:r w:rsidRPr="002F3DD9">
        <w:t xml:space="preserve">. The reason for this special case is that TDD operation </w:t>
      </w:r>
      <w:r>
        <w:t>like for example, the</w:t>
      </w:r>
      <w:r w:rsidRPr="002F3DD9">
        <w:t xml:space="preserve"> </w:t>
      </w:r>
      <w:r>
        <w:t xml:space="preserve">USA </w:t>
      </w:r>
      <w:r w:rsidRPr="002F3DD9">
        <w:t>CBRS band</w:t>
      </w:r>
      <w:r>
        <w:t>,</w:t>
      </w:r>
      <w:r w:rsidRPr="002F3DD9">
        <w:t xml:space="preserve"> is limited to low </w:t>
      </w:r>
      <w:r w:rsidRPr="002F3DD9">
        <w:rPr>
          <w:noProof/>
        </w:rPr>
        <w:t>gNb</w:t>
      </w:r>
      <w:r w:rsidRPr="002F3DD9">
        <w:t xml:space="preserve"> power micro-cells, and the adjacent bands namely</w:t>
      </w:r>
      <w:r>
        <w:t>,</w:t>
      </w:r>
      <w:r w:rsidRPr="002F3DD9">
        <w:t xml:space="preserve"> AMBIT, and C-band can use 30 dB higher power Macro-cells.</w:t>
      </w:r>
      <w:r>
        <w:t xml:space="preserve"> In these special regions SBFD should be expected to coexist fairly with legacy TDD.” This comment can be added to section 12.2.1 in TR 38.858 and/or section 11.</w:t>
      </w:r>
    </w:p>
    <w:p w14:paraId="4057669E" w14:textId="34BE20F3" w:rsidR="002B3DCB" w:rsidRDefault="002B3DCB" w:rsidP="002B3DCB">
      <w:r>
        <w:rPr>
          <w:b/>
          <w:bCs/>
        </w:rPr>
        <w:t>Proposal 2</w:t>
      </w:r>
      <w:r w:rsidRPr="00906D3F">
        <w:rPr>
          <w:b/>
          <w:bCs/>
        </w:rPr>
        <w:t>:</w:t>
      </w:r>
      <w:r>
        <w:t xml:space="preserve">   We propose to add in the TS 38.104 s similar statement as well</w:t>
      </w:r>
      <w:r>
        <w:t>.</w:t>
      </w:r>
    </w:p>
    <w:p w14:paraId="7A0CCEC9" w14:textId="34315430" w:rsidR="003B659E" w:rsidRPr="00614DD8" w:rsidRDefault="003B659E" w:rsidP="0060543D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614DD8">
        <w:rPr>
          <w:lang w:val="en-US"/>
        </w:rPr>
        <w:t>References</w:t>
      </w:r>
      <w:bookmarkEnd w:id="5"/>
    </w:p>
    <w:p w14:paraId="69C18EAF" w14:textId="578BAA6D" w:rsidR="00E674BF" w:rsidRDefault="00E358FA" w:rsidP="006F697A">
      <w:pPr>
        <w:pStyle w:val="ListParagraph"/>
        <w:numPr>
          <w:ilvl w:val="0"/>
          <w:numId w:val="21"/>
        </w:numPr>
        <w:jc w:val="both"/>
        <w:outlineLvl w:val="0"/>
      </w:pPr>
      <w:bookmarkStart w:id="6" w:name="_Ref114500673"/>
      <w:bookmarkEnd w:id="6"/>
      <w:r>
        <w:rPr>
          <w:rFonts w:ascii="Times" w:eastAsia="Batang" w:hAnsi="Times"/>
          <w:szCs w:val="24"/>
        </w:rPr>
        <w:t xml:space="preserve">TR </w:t>
      </w:r>
      <w:r w:rsidR="00E674BF" w:rsidRPr="00E674BF">
        <w:rPr>
          <w:rFonts w:ascii="Times" w:eastAsia="Batang" w:hAnsi="Times"/>
          <w:szCs w:val="24"/>
        </w:rPr>
        <w:t>38.858, “Study on Evolution of NR Duplex Operation”</w:t>
      </w:r>
    </w:p>
    <w:p w14:paraId="76D913C0" w14:textId="2A37FB97" w:rsidR="00040DE6" w:rsidRPr="00040DE6" w:rsidRDefault="00040DE6" w:rsidP="00040DE6">
      <w:pPr>
        <w:pStyle w:val="ListParagraph"/>
        <w:numPr>
          <w:ilvl w:val="0"/>
          <w:numId w:val="21"/>
        </w:numPr>
        <w:tabs>
          <w:tab w:val="left" w:pos="2127"/>
        </w:tabs>
        <w:jc w:val="both"/>
        <w:outlineLvl w:val="0"/>
      </w:pPr>
      <w:r w:rsidRPr="00040DE6">
        <w:t>RP-240789 WID revision: Evolution of NR duplex operation: Sub-band full duplex (SBFD)</w:t>
      </w:r>
    </w:p>
    <w:p w14:paraId="4FC9EF54" w14:textId="77777777" w:rsidR="00E43BF9" w:rsidRDefault="00E43BF9" w:rsidP="00E43BF9">
      <w:pPr>
        <w:ind w:right="-22"/>
        <w:rPr>
          <w:lang w:val="en-US"/>
        </w:rPr>
      </w:pPr>
    </w:p>
    <w:sectPr w:rsidR="00E43BF9" w:rsidSect="00326D6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D106F" w14:textId="77777777" w:rsidR="00492F8E" w:rsidRDefault="00492F8E" w:rsidP="00001C9B">
      <w:pPr>
        <w:spacing w:after="0" w:line="240" w:lineRule="auto"/>
      </w:pPr>
      <w:r>
        <w:separator/>
      </w:r>
    </w:p>
  </w:endnote>
  <w:endnote w:type="continuationSeparator" w:id="0">
    <w:p w14:paraId="707495A3" w14:textId="77777777" w:rsidR="00492F8E" w:rsidRDefault="00492F8E" w:rsidP="00001C9B">
      <w:pPr>
        <w:spacing w:after="0" w:line="240" w:lineRule="auto"/>
      </w:pPr>
      <w:r>
        <w:continuationSeparator/>
      </w:r>
    </w:p>
  </w:endnote>
  <w:endnote w:type="continuationNotice" w:id="1">
    <w:p w14:paraId="0D7BFB7C" w14:textId="77777777" w:rsidR="00492F8E" w:rsidRDefault="00492F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6FDAE4" w14:textId="77777777" w:rsidR="00492F8E" w:rsidRDefault="00492F8E" w:rsidP="00001C9B">
      <w:pPr>
        <w:spacing w:after="0" w:line="240" w:lineRule="auto"/>
      </w:pPr>
      <w:r>
        <w:separator/>
      </w:r>
    </w:p>
  </w:footnote>
  <w:footnote w:type="continuationSeparator" w:id="0">
    <w:p w14:paraId="247AD39E" w14:textId="77777777" w:rsidR="00492F8E" w:rsidRDefault="00492F8E" w:rsidP="00001C9B">
      <w:pPr>
        <w:spacing w:after="0" w:line="240" w:lineRule="auto"/>
      </w:pPr>
      <w:r>
        <w:continuationSeparator/>
      </w:r>
    </w:p>
  </w:footnote>
  <w:footnote w:type="continuationNotice" w:id="1">
    <w:p w14:paraId="2125FCA6" w14:textId="77777777" w:rsidR="00492F8E" w:rsidRDefault="00492F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D52A43"/>
    <w:multiLevelType w:val="hybridMultilevel"/>
    <w:tmpl w:val="B73626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1224" w:hanging="180"/>
      </w:pPr>
    </w:lvl>
    <w:lvl w:ilvl="3" w:tplc="FFFFFFFF">
      <w:start w:val="1"/>
      <w:numFmt w:val="decimal"/>
      <w:lvlText w:val="%4."/>
      <w:lvlJc w:val="left"/>
      <w:pPr>
        <w:ind w:left="1944" w:hanging="360"/>
      </w:pPr>
    </w:lvl>
    <w:lvl w:ilvl="4" w:tplc="FFFFFFFF">
      <w:start w:val="1"/>
      <w:numFmt w:val="lowerLetter"/>
      <w:lvlText w:val="%5."/>
      <w:lvlJc w:val="left"/>
      <w:pPr>
        <w:ind w:left="2664" w:hanging="360"/>
      </w:pPr>
    </w:lvl>
    <w:lvl w:ilvl="5" w:tplc="FFFFFFFF" w:tentative="1">
      <w:start w:val="1"/>
      <w:numFmt w:val="lowerRoman"/>
      <w:lvlText w:val="%6."/>
      <w:lvlJc w:val="right"/>
      <w:pPr>
        <w:ind w:left="3384" w:hanging="180"/>
      </w:pPr>
    </w:lvl>
    <w:lvl w:ilvl="6" w:tplc="FFFFFFFF" w:tentative="1">
      <w:start w:val="1"/>
      <w:numFmt w:val="decimal"/>
      <w:lvlText w:val="%7."/>
      <w:lvlJc w:val="left"/>
      <w:pPr>
        <w:ind w:left="4104" w:hanging="360"/>
      </w:pPr>
    </w:lvl>
    <w:lvl w:ilvl="7" w:tplc="FFFFFFFF" w:tentative="1">
      <w:start w:val="1"/>
      <w:numFmt w:val="lowerLetter"/>
      <w:lvlText w:val="%8."/>
      <w:lvlJc w:val="left"/>
      <w:pPr>
        <w:ind w:left="4824" w:hanging="360"/>
      </w:pPr>
    </w:lvl>
    <w:lvl w:ilvl="8" w:tplc="FFFFFFFF" w:tentative="1">
      <w:start w:val="1"/>
      <w:numFmt w:val="lowerRoman"/>
      <w:lvlText w:val="%9."/>
      <w:lvlJc w:val="right"/>
      <w:pPr>
        <w:ind w:left="5544" w:hanging="180"/>
      </w:p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C3B5E"/>
    <w:multiLevelType w:val="hybridMultilevel"/>
    <w:tmpl w:val="822E8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736E5E"/>
    <w:multiLevelType w:val="hybridMultilevel"/>
    <w:tmpl w:val="D00E45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444D03"/>
    <w:multiLevelType w:val="hybridMultilevel"/>
    <w:tmpl w:val="510A86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879F8"/>
    <w:multiLevelType w:val="hybridMultilevel"/>
    <w:tmpl w:val="B73626A0"/>
    <w:lvl w:ilvl="0" w:tplc="60528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F">
      <w:start w:val="1"/>
      <w:numFmt w:val="decimal"/>
      <w:lvlText w:val="%2."/>
      <w:lvlJc w:val="left"/>
      <w:pPr>
        <w:ind w:left="720" w:hanging="360"/>
      </w:pPr>
    </w:lvl>
    <w:lvl w:ilvl="2" w:tplc="2000001B">
      <w:start w:val="1"/>
      <w:numFmt w:val="lowerRoman"/>
      <w:lvlText w:val="%3."/>
      <w:lvlJc w:val="right"/>
      <w:pPr>
        <w:ind w:left="1224" w:hanging="180"/>
      </w:pPr>
    </w:lvl>
    <w:lvl w:ilvl="3" w:tplc="2000000F">
      <w:start w:val="1"/>
      <w:numFmt w:val="decimal"/>
      <w:lvlText w:val="%4."/>
      <w:lvlJc w:val="left"/>
      <w:pPr>
        <w:ind w:left="1944" w:hanging="360"/>
      </w:pPr>
    </w:lvl>
    <w:lvl w:ilvl="4" w:tplc="20000019">
      <w:start w:val="1"/>
      <w:numFmt w:val="lowerLetter"/>
      <w:lvlText w:val="%5."/>
      <w:lvlJc w:val="left"/>
      <w:pPr>
        <w:ind w:left="2664" w:hanging="360"/>
      </w:pPr>
    </w:lvl>
    <w:lvl w:ilvl="5" w:tplc="2000001B" w:tentative="1">
      <w:start w:val="1"/>
      <w:numFmt w:val="lowerRoman"/>
      <w:lvlText w:val="%6."/>
      <w:lvlJc w:val="right"/>
      <w:pPr>
        <w:ind w:left="3384" w:hanging="180"/>
      </w:pPr>
    </w:lvl>
    <w:lvl w:ilvl="6" w:tplc="2000000F" w:tentative="1">
      <w:start w:val="1"/>
      <w:numFmt w:val="decimal"/>
      <w:lvlText w:val="%7."/>
      <w:lvlJc w:val="left"/>
      <w:pPr>
        <w:ind w:left="4104" w:hanging="360"/>
      </w:pPr>
    </w:lvl>
    <w:lvl w:ilvl="7" w:tplc="20000019" w:tentative="1">
      <w:start w:val="1"/>
      <w:numFmt w:val="lowerLetter"/>
      <w:lvlText w:val="%8."/>
      <w:lvlJc w:val="left"/>
      <w:pPr>
        <w:ind w:left="4824" w:hanging="360"/>
      </w:pPr>
    </w:lvl>
    <w:lvl w:ilvl="8" w:tplc="2000001B" w:tentative="1">
      <w:start w:val="1"/>
      <w:numFmt w:val="lowerRoman"/>
      <w:lvlText w:val="%9."/>
      <w:lvlJc w:val="right"/>
      <w:pPr>
        <w:ind w:left="5544" w:hanging="180"/>
      </w:pPr>
    </w:lvl>
  </w:abstractNum>
  <w:num w:numId="1" w16cid:durableId="166945348">
    <w:abstractNumId w:val="2"/>
  </w:num>
  <w:num w:numId="2" w16cid:durableId="1469392472">
    <w:abstractNumId w:val="7"/>
  </w:num>
  <w:num w:numId="3" w16cid:durableId="1792749823">
    <w:abstractNumId w:val="12"/>
  </w:num>
  <w:num w:numId="4" w16cid:durableId="517735681">
    <w:abstractNumId w:val="6"/>
  </w:num>
  <w:num w:numId="5" w16cid:durableId="1142041724">
    <w:abstractNumId w:val="16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7"/>
  </w:num>
  <w:num w:numId="16" w16cid:durableId="516113510">
    <w:abstractNumId w:val="5"/>
  </w:num>
  <w:num w:numId="17" w16cid:durableId="1456096507">
    <w:abstractNumId w:val="15"/>
  </w:num>
  <w:num w:numId="18" w16cid:durableId="1397970374">
    <w:abstractNumId w:val="15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4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3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1773548199">
    <w:abstractNumId w:val="18"/>
  </w:num>
  <w:num w:numId="28" w16cid:durableId="2124834854">
    <w:abstractNumId w:val="0"/>
  </w:num>
  <w:num w:numId="29" w16cid:durableId="1454250479">
    <w:abstractNumId w:val="8"/>
  </w:num>
  <w:num w:numId="30" w16cid:durableId="2073581608">
    <w:abstractNumId w:val="13"/>
  </w:num>
  <w:num w:numId="31" w16cid:durableId="147471868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B1292F"/>
    <w:rsid w:val="00001C9B"/>
    <w:rsid w:val="000040DC"/>
    <w:rsid w:val="00005E89"/>
    <w:rsid w:val="00011784"/>
    <w:rsid w:val="000151EF"/>
    <w:rsid w:val="00020B3B"/>
    <w:rsid w:val="0002318D"/>
    <w:rsid w:val="000239F5"/>
    <w:rsid w:val="000407B4"/>
    <w:rsid w:val="00040DE6"/>
    <w:rsid w:val="00042F89"/>
    <w:rsid w:val="00050339"/>
    <w:rsid w:val="00057F09"/>
    <w:rsid w:val="0006659A"/>
    <w:rsid w:val="00067A59"/>
    <w:rsid w:val="00072CCA"/>
    <w:rsid w:val="0008612A"/>
    <w:rsid w:val="00090E18"/>
    <w:rsid w:val="00097791"/>
    <w:rsid w:val="000A0B0A"/>
    <w:rsid w:val="000A10BC"/>
    <w:rsid w:val="000A68CD"/>
    <w:rsid w:val="000A7F53"/>
    <w:rsid w:val="000B0056"/>
    <w:rsid w:val="000C3C7B"/>
    <w:rsid w:val="000C6A0A"/>
    <w:rsid w:val="000D0F93"/>
    <w:rsid w:val="000D6B52"/>
    <w:rsid w:val="000E10F6"/>
    <w:rsid w:val="000F4CA0"/>
    <w:rsid w:val="0010017F"/>
    <w:rsid w:val="0010024C"/>
    <w:rsid w:val="00100633"/>
    <w:rsid w:val="00100E3D"/>
    <w:rsid w:val="00106416"/>
    <w:rsid w:val="00110481"/>
    <w:rsid w:val="001127C9"/>
    <w:rsid w:val="00114498"/>
    <w:rsid w:val="00115B6B"/>
    <w:rsid w:val="00115B88"/>
    <w:rsid w:val="00126483"/>
    <w:rsid w:val="00132F6A"/>
    <w:rsid w:val="00133913"/>
    <w:rsid w:val="001340A7"/>
    <w:rsid w:val="00140221"/>
    <w:rsid w:val="00142BF7"/>
    <w:rsid w:val="00142E63"/>
    <w:rsid w:val="00143009"/>
    <w:rsid w:val="001642FC"/>
    <w:rsid w:val="0016496B"/>
    <w:rsid w:val="001743E2"/>
    <w:rsid w:val="001745F8"/>
    <w:rsid w:val="00176B53"/>
    <w:rsid w:val="00182B00"/>
    <w:rsid w:val="001838CF"/>
    <w:rsid w:val="001868EE"/>
    <w:rsid w:val="001A3BA4"/>
    <w:rsid w:val="001A6D1F"/>
    <w:rsid w:val="001B1EA8"/>
    <w:rsid w:val="001B3DBE"/>
    <w:rsid w:val="001D792E"/>
    <w:rsid w:val="001E30F6"/>
    <w:rsid w:val="001E5F51"/>
    <w:rsid w:val="00207383"/>
    <w:rsid w:val="00211D64"/>
    <w:rsid w:val="00217EE5"/>
    <w:rsid w:val="00220D0A"/>
    <w:rsid w:val="00235F5C"/>
    <w:rsid w:val="002413C5"/>
    <w:rsid w:val="0024534F"/>
    <w:rsid w:val="002473DA"/>
    <w:rsid w:val="002575D2"/>
    <w:rsid w:val="00257FA3"/>
    <w:rsid w:val="00260ABB"/>
    <w:rsid w:val="00277B56"/>
    <w:rsid w:val="0028111B"/>
    <w:rsid w:val="002817CD"/>
    <w:rsid w:val="00282A74"/>
    <w:rsid w:val="0029108E"/>
    <w:rsid w:val="00295F10"/>
    <w:rsid w:val="002A19F5"/>
    <w:rsid w:val="002B3DCB"/>
    <w:rsid w:val="002B4922"/>
    <w:rsid w:val="002B562E"/>
    <w:rsid w:val="002B69F3"/>
    <w:rsid w:val="002C22C3"/>
    <w:rsid w:val="002C2D19"/>
    <w:rsid w:val="002C3845"/>
    <w:rsid w:val="002D10FA"/>
    <w:rsid w:val="002D4C55"/>
    <w:rsid w:val="002D74B8"/>
    <w:rsid w:val="002E6DED"/>
    <w:rsid w:val="002F3DD9"/>
    <w:rsid w:val="00300956"/>
    <w:rsid w:val="00317187"/>
    <w:rsid w:val="00322733"/>
    <w:rsid w:val="0032499A"/>
    <w:rsid w:val="00324CEB"/>
    <w:rsid w:val="00326D6D"/>
    <w:rsid w:val="003341F7"/>
    <w:rsid w:val="00347FEC"/>
    <w:rsid w:val="003509DF"/>
    <w:rsid w:val="003550D1"/>
    <w:rsid w:val="00356F45"/>
    <w:rsid w:val="00360B9D"/>
    <w:rsid w:val="00362445"/>
    <w:rsid w:val="00366B74"/>
    <w:rsid w:val="00370FFA"/>
    <w:rsid w:val="00381F95"/>
    <w:rsid w:val="003847ED"/>
    <w:rsid w:val="003863D2"/>
    <w:rsid w:val="00390467"/>
    <w:rsid w:val="003A710A"/>
    <w:rsid w:val="003B403F"/>
    <w:rsid w:val="003B50FC"/>
    <w:rsid w:val="003B659E"/>
    <w:rsid w:val="003B7AA4"/>
    <w:rsid w:val="003C275E"/>
    <w:rsid w:val="003C4FDE"/>
    <w:rsid w:val="003C69D3"/>
    <w:rsid w:val="003D6781"/>
    <w:rsid w:val="003D767F"/>
    <w:rsid w:val="003E58DF"/>
    <w:rsid w:val="00404C4C"/>
    <w:rsid w:val="004123F1"/>
    <w:rsid w:val="0041423F"/>
    <w:rsid w:val="00414F81"/>
    <w:rsid w:val="004360E0"/>
    <w:rsid w:val="00436A0F"/>
    <w:rsid w:val="00437150"/>
    <w:rsid w:val="0043750A"/>
    <w:rsid w:val="00437EF0"/>
    <w:rsid w:val="00440964"/>
    <w:rsid w:val="00443B02"/>
    <w:rsid w:val="00447577"/>
    <w:rsid w:val="00472F33"/>
    <w:rsid w:val="004732E9"/>
    <w:rsid w:val="004854BB"/>
    <w:rsid w:val="004863B2"/>
    <w:rsid w:val="00492F8E"/>
    <w:rsid w:val="00494493"/>
    <w:rsid w:val="00496606"/>
    <w:rsid w:val="004A24CC"/>
    <w:rsid w:val="004B1057"/>
    <w:rsid w:val="004B4167"/>
    <w:rsid w:val="004C48CA"/>
    <w:rsid w:val="004C4E27"/>
    <w:rsid w:val="004D5DC6"/>
    <w:rsid w:val="004E5E66"/>
    <w:rsid w:val="004E7ADB"/>
    <w:rsid w:val="00500703"/>
    <w:rsid w:val="00503B4D"/>
    <w:rsid w:val="00504EE9"/>
    <w:rsid w:val="00514E4F"/>
    <w:rsid w:val="00521576"/>
    <w:rsid w:val="005250E6"/>
    <w:rsid w:val="0053090A"/>
    <w:rsid w:val="00537A5B"/>
    <w:rsid w:val="00542D23"/>
    <w:rsid w:val="0054442C"/>
    <w:rsid w:val="00550285"/>
    <w:rsid w:val="00562492"/>
    <w:rsid w:val="0056329B"/>
    <w:rsid w:val="00566640"/>
    <w:rsid w:val="00572A20"/>
    <w:rsid w:val="005737CB"/>
    <w:rsid w:val="00575386"/>
    <w:rsid w:val="005807AA"/>
    <w:rsid w:val="005836F8"/>
    <w:rsid w:val="005918FA"/>
    <w:rsid w:val="00592A86"/>
    <w:rsid w:val="005A51B7"/>
    <w:rsid w:val="005A6F47"/>
    <w:rsid w:val="005B05BD"/>
    <w:rsid w:val="005B3029"/>
    <w:rsid w:val="005B4801"/>
    <w:rsid w:val="005C23A4"/>
    <w:rsid w:val="005D1CDF"/>
    <w:rsid w:val="005D2BB7"/>
    <w:rsid w:val="005D6FFE"/>
    <w:rsid w:val="005D781B"/>
    <w:rsid w:val="005E61A8"/>
    <w:rsid w:val="005F6419"/>
    <w:rsid w:val="0060301D"/>
    <w:rsid w:val="0060543D"/>
    <w:rsid w:val="006104DD"/>
    <w:rsid w:val="006107D5"/>
    <w:rsid w:val="006130B5"/>
    <w:rsid w:val="0061345F"/>
    <w:rsid w:val="00614DD8"/>
    <w:rsid w:val="00617400"/>
    <w:rsid w:val="00624092"/>
    <w:rsid w:val="00632D29"/>
    <w:rsid w:val="006342FC"/>
    <w:rsid w:val="00636E6E"/>
    <w:rsid w:val="00644608"/>
    <w:rsid w:val="0064780C"/>
    <w:rsid w:val="00653D8B"/>
    <w:rsid w:val="00664950"/>
    <w:rsid w:val="00667AC2"/>
    <w:rsid w:val="006825E9"/>
    <w:rsid w:val="00683220"/>
    <w:rsid w:val="00687FA0"/>
    <w:rsid w:val="00692117"/>
    <w:rsid w:val="006A3C11"/>
    <w:rsid w:val="006B04F9"/>
    <w:rsid w:val="006B6213"/>
    <w:rsid w:val="006B7010"/>
    <w:rsid w:val="006C3095"/>
    <w:rsid w:val="006E1151"/>
    <w:rsid w:val="006E22D4"/>
    <w:rsid w:val="006E6311"/>
    <w:rsid w:val="006F6B63"/>
    <w:rsid w:val="007014CC"/>
    <w:rsid w:val="0070744C"/>
    <w:rsid w:val="00707742"/>
    <w:rsid w:val="007145FF"/>
    <w:rsid w:val="00715B2A"/>
    <w:rsid w:val="0073184D"/>
    <w:rsid w:val="00732AF2"/>
    <w:rsid w:val="00733B21"/>
    <w:rsid w:val="007450F1"/>
    <w:rsid w:val="00745EE2"/>
    <w:rsid w:val="00751515"/>
    <w:rsid w:val="0075252F"/>
    <w:rsid w:val="007626B7"/>
    <w:rsid w:val="00775556"/>
    <w:rsid w:val="00775B7B"/>
    <w:rsid w:val="0078212B"/>
    <w:rsid w:val="00784DF6"/>
    <w:rsid w:val="00785232"/>
    <w:rsid w:val="007A399D"/>
    <w:rsid w:val="007B186C"/>
    <w:rsid w:val="007B2C29"/>
    <w:rsid w:val="007B6B19"/>
    <w:rsid w:val="007C1696"/>
    <w:rsid w:val="007C3ED0"/>
    <w:rsid w:val="007C48C4"/>
    <w:rsid w:val="007C5971"/>
    <w:rsid w:val="007D6DB9"/>
    <w:rsid w:val="007E42DC"/>
    <w:rsid w:val="007F54B9"/>
    <w:rsid w:val="007F605B"/>
    <w:rsid w:val="0080383E"/>
    <w:rsid w:val="00803F35"/>
    <w:rsid w:val="00806A76"/>
    <w:rsid w:val="00811C9D"/>
    <w:rsid w:val="00816C80"/>
    <w:rsid w:val="008249C8"/>
    <w:rsid w:val="00824A7C"/>
    <w:rsid w:val="0083102F"/>
    <w:rsid w:val="00840561"/>
    <w:rsid w:val="0084097A"/>
    <w:rsid w:val="00841BCD"/>
    <w:rsid w:val="00847264"/>
    <w:rsid w:val="00851A8E"/>
    <w:rsid w:val="0085365B"/>
    <w:rsid w:val="00862109"/>
    <w:rsid w:val="00867791"/>
    <w:rsid w:val="0088079D"/>
    <w:rsid w:val="008826C1"/>
    <w:rsid w:val="0088368D"/>
    <w:rsid w:val="00883DFD"/>
    <w:rsid w:val="00890591"/>
    <w:rsid w:val="0089210C"/>
    <w:rsid w:val="00893D2E"/>
    <w:rsid w:val="008A1BF7"/>
    <w:rsid w:val="008A5B0E"/>
    <w:rsid w:val="008B0961"/>
    <w:rsid w:val="008C12B8"/>
    <w:rsid w:val="008C39F7"/>
    <w:rsid w:val="008E1AEC"/>
    <w:rsid w:val="008F4087"/>
    <w:rsid w:val="0090091A"/>
    <w:rsid w:val="009042BD"/>
    <w:rsid w:val="00904FE4"/>
    <w:rsid w:val="00906D3F"/>
    <w:rsid w:val="009224E4"/>
    <w:rsid w:val="00927740"/>
    <w:rsid w:val="00934232"/>
    <w:rsid w:val="00936159"/>
    <w:rsid w:val="00937521"/>
    <w:rsid w:val="00940979"/>
    <w:rsid w:val="00952AF5"/>
    <w:rsid w:val="00977E1D"/>
    <w:rsid w:val="00984E1F"/>
    <w:rsid w:val="0098547E"/>
    <w:rsid w:val="00992984"/>
    <w:rsid w:val="0099732D"/>
    <w:rsid w:val="009A5052"/>
    <w:rsid w:val="009A6C2F"/>
    <w:rsid w:val="009A7206"/>
    <w:rsid w:val="009B0573"/>
    <w:rsid w:val="009B64F6"/>
    <w:rsid w:val="009B7B4B"/>
    <w:rsid w:val="009B7C21"/>
    <w:rsid w:val="009E0D01"/>
    <w:rsid w:val="009E4E6E"/>
    <w:rsid w:val="009E6A71"/>
    <w:rsid w:val="00A04992"/>
    <w:rsid w:val="00A06240"/>
    <w:rsid w:val="00A12B9A"/>
    <w:rsid w:val="00A147AA"/>
    <w:rsid w:val="00A21D71"/>
    <w:rsid w:val="00A22A23"/>
    <w:rsid w:val="00A22B78"/>
    <w:rsid w:val="00A25AE5"/>
    <w:rsid w:val="00A26442"/>
    <w:rsid w:val="00A348F3"/>
    <w:rsid w:val="00A37002"/>
    <w:rsid w:val="00A4355E"/>
    <w:rsid w:val="00A520D9"/>
    <w:rsid w:val="00A55F72"/>
    <w:rsid w:val="00A6378B"/>
    <w:rsid w:val="00A641DA"/>
    <w:rsid w:val="00A64DA0"/>
    <w:rsid w:val="00A73DD3"/>
    <w:rsid w:val="00A74C67"/>
    <w:rsid w:val="00A86B14"/>
    <w:rsid w:val="00A91E85"/>
    <w:rsid w:val="00A92BCD"/>
    <w:rsid w:val="00AA18B1"/>
    <w:rsid w:val="00AA1B0E"/>
    <w:rsid w:val="00AA47B6"/>
    <w:rsid w:val="00AB0F58"/>
    <w:rsid w:val="00AB3EAF"/>
    <w:rsid w:val="00AC163B"/>
    <w:rsid w:val="00AC56A7"/>
    <w:rsid w:val="00AC5CA7"/>
    <w:rsid w:val="00AC6058"/>
    <w:rsid w:val="00AE132E"/>
    <w:rsid w:val="00AE2BA5"/>
    <w:rsid w:val="00AE56B1"/>
    <w:rsid w:val="00AE6D09"/>
    <w:rsid w:val="00AF1A3C"/>
    <w:rsid w:val="00AF7A7C"/>
    <w:rsid w:val="00B02070"/>
    <w:rsid w:val="00B0262F"/>
    <w:rsid w:val="00B1292F"/>
    <w:rsid w:val="00B35741"/>
    <w:rsid w:val="00B408B6"/>
    <w:rsid w:val="00B424C2"/>
    <w:rsid w:val="00B463CF"/>
    <w:rsid w:val="00B542DA"/>
    <w:rsid w:val="00B64908"/>
    <w:rsid w:val="00B73862"/>
    <w:rsid w:val="00B73F43"/>
    <w:rsid w:val="00B75BBF"/>
    <w:rsid w:val="00B81CDC"/>
    <w:rsid w:val="00B85A51"/>
    <w:rsid w:val="00B94CF8"/>
    <w:rsid w:val="00BA308C"/>
    <w:rsid w:val="00BA6B66"/>
    <w:rsid w:val="00BA6E48"/>
    <w:rsid w:val="00BB259C"/>
    <w:rsid w:val="00BB557E"/>
    <w:rsid w:val="00BC74EA"/>
    <w:rsid w:val="00BD0563"/>
    <w:rsid w:val="00BD0789"/>
    <w:rsid w:val="00BE0AF6"/>
    <w:rsid w:val="00BE1F03"/>
    <w:rsid w:val="00BE3A04"/>
    <w:rsid w:val="00BE58A7"/>
    <w:rsid w:val="00BF2218"/>
    <w:rsid w:val="00C0426B"/>
    <w:rsid w:val="00C045DF"/>
    <w:rsid w:val="00C04A71"/>
    <w:rsid w:val="00C06394"/>
    <w:rsid w:val="00C1276B"/>
    <w:rsid w:val="00C26D43"/>
    <w:rsid w:val="00C35173"/>
    <w:rsid w:val="00C36E39"/>
    <w:rsid w:val="00C46548"/>
    <w:rsid w:val="00C5256E"/>
    <w:rsid w:val="00C54472"/>
    <w:rsid w:val="00C54BA9"/>
    <w:rsid w:val="00C574D5"/>
    <w:rsid w:val="00C73F32"/>
    <w:rsid w:val="00C75A8D"/>
    <w:rsid w:val="00C87462"/>
    <w:rsid w:val="00CA180C"/>
    <w:rsid w:val="00CB22B2"/>
    <w:rsid w:val="00CB5E96"/>
    <w:rsid w:val="00CB7066"/>
    <w:rsid w:val="00CC3EE2"/>
    <w:rsid w:val="00CD7492"/>
    <w:rsid w:val="00CE2584"/>
    <w:rsid w:val="00CE3A6B"/>
    <w:rsid w:val="00D00211"/>
    <w:rsid w:val="00D006D1"/>
    <w:rsid w:val="00D025AE"/>
    <w:rsid w:val="00D02A96"/>
    <w:rsid w:val="00D03053"/>
    <w:rsid w:val="00D0379F"/>
    <w:rsid w:val="00D06309"/>
    <w:rsid w:val="00D351EA"/>
    <w:rsid w:val="00D40288"/>
    <w:rsid w:val="00D43403"/>
    <w:rsid w:val="00D50A6B"/>
    <w:rsid w:val="00D5270B"/>
    <w:rsid w:val="00D62E71"/>
    <w:rsid w:val="00D6430D"/>
    <w:rsid w:val="00D66188"/>
    <w:rsid w:val="00D731F6"/>
    <w:rsid w:val="00D740CA"/>
    <w:rsid w:val="00D85728"/>
    <w:rsid w:val="00D91073"/>
    <w:rsid w:val="00D95481"/>
    <w:rsid w:val="00DC69B9"/>
    <w:rsid w:val="00DC7A13"/>
    <w:rsid w:val="00DD1C3C"/>
    <w:rsid w:val="00DD44AA"/>
    <w:rsid w:val="00DE5F69"/>
    <w:rsid w:val="00DE7064"/>
    <w:rsid w:val="00DF2997"/>
    <w:rsid w:val="00E02DE7"/>
    <w:rsid w:val="00E10BC4"/>
    <w:rsid w:val="00E1202D"/>
    <w:rsid w:val="00E13B88"/>
    <w:rsid w:val="00E1415D"/>
    <w:rsid w:val="00E213BD"/>
    <w:rsid w:val="00E22DF0"/>
    <w:rsid w:val="00E276AD"/>
    <w:rsid w:val="00E31A81"/>
    <w:rsid w:val="00E323E9"/>
    <w:rsid w:val="00E34018"/>
    <w:rsid w:val="00E358FA"/>
    <w:rsid w:val="00E437D2"/>
    <w:rsid w:val="00E43BF9"/>
    <w:rsid w:val="00E462C9"/>
    <w:rsid w:val="00E50ABB"/>
    <w:rsid w:val="00E51930"/>
    <w:rsid w:val="00E53040"/>
    <w:rsid w:val="00E55751"/>
    <w:rsid w:val="00E60774"/>
    <w:rsid w:val="00E674BF"/>
    <w:rsid w:val="00E7398E"/>
    <w:rsid w:val="00E9454E"/>
    <w:rsid w:val="00E9543C"/>
    <w:rsid w:val="00EA1BEC"/>
    <w:rsid w:val="00EA2311"/>
    <w:rsid w:val="00EA32DC"/>
    <w:rsid w:val="00EB5632"/>
    <w:rsid w:val="00EB6432"/>
    <w:rsid w:val="00EC7BC3"/>
    <w:rsid w:val="00ED3798"/>
    <w:rsid w:val="00ED5E6C"/>
    <w:rsid w:val="00ED7600"/>
    <w:rsid w:val="00EE4347"/>
    <w:rsid w:val="00EF6073"/>
    <w:rsid w:val="00EF698B"/>
    <w:rsid w:val="00EF6A32"/>
    <w:rsid w:val="00EF6BF4"/>
    <w:rsid w:val="00F1295D"/>
    <w:rsid w:val="00F1362C"/>
    <w:rsid w:val="00F23ABB"/>
    <w:rsid w:val="00F3167C"/>
    <w:rsid w:val="00F3510F"/>
    <w:rsid w:val="00F35A76"/>
    <w:rsid w:val="00F37A87"/>
    <w:rsid w:val="00F414F1"/>
    <w:rsid w:val="00F46A19"/>
    <w:rsid w:val="00F508B8"/>
    <w:rsid w:val="00F50DEC"/>
    <w:rsid w:val="00F578B6"/>
    <w:rsid w:val="00F71730"/>
    <w:rsid w:val="00F72CB1"/>
    <w:rsid w:val="00F77492"/>
    <w:rsid w:val="00F8215E"/>
    <w:rsid w:val="00F824F5"/>
    <w:rsid w:val="00F842DB"/>
    <w:rsid w:val="00F8761F"/>
    <w:rsid w:val="00F90FAB"/>
    <w:rsid w:val="00F9374D"/>
    <w:rsid w:val="00FA069D"/>
    <w:rsid w:val="00FC29B9"/>
    <w:rsid w:val="00FC6FD3"/>
    <w:rsid w:val="00FC7E08"/>
    <w:rsid w:val="00FD24AE"/>
    <w:rsid w:val="00FD4450"/>
    <w:rsid w:val="00FD54D8"/>
    <w:rsid w:val="00FE305C"/>
    <w:rsid w:val="00FF0301"/>
    <w:rsid w:val="00FF4B91"/>
    <w:rsid w:val="00FF4DA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917AC9"/>
  <w15:chartTrackingRefBased/>
  <w15:docId w15:val="{50DE4108-66D6-4551-ACFC-60A86EC91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목록 단락,清單段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R4_bullets Char,- Bullets Char,?? ?? Char,????? Char,???? Char,リスト段落 Char,Lista1 Char,列出段落1 Char,中等深浅网格 1 - 着色 21 Char,列表段落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qFormat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C54472"/>
    <w:pPr>
      <w:tabs>
        <w:tab w:val="right" w:leader="dot" w:pos="9617"/>
      </w:tabs>
      <w:spacing w:after="100"/>
    </w:pPr>
    <w:rPr>
      <w:b/>
    </w:rPr>
  </w:style>
  <w:style w:type="character" w:customStyle="1" w:styleId="ui-provider">
    <w:name w:val="ui-provider"/>
    <w:basedOn w:val="DefaultParagraphFont"/>
    <w:rsid w:val="00A06240"/>
  </w:style>
  <w:style w:type="paragraph" w:styleId="Header">
    <w:name w:val="header"/>
    <w:basedOn w:val="Normal"/>
    <w:link w:val="Head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93752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37521"/>
    <w:rPr>
      <w:rFonts w:ascii="Times New Roman" w:hAnsi="Times New Roman"/>
      <w:sz w:val="20"/>
      <w:lang w:val="en-GB"/>
    </w:rPr>
  </w:style>
  <w:style w:type="paragraph" w:styleId="Revision">
    <w:name w:val="Revision"/>
    <w:hidden/>
    <w:uiPriority w:val="99"/>
    <w:semiHidden/>
    <w:rsid w:val="000407B4"/>
    <w:pPr>
      <w:spacing w:after="0" w:line="240" w:lineRule="auto"/>
    </w:pPr>
    <w:rPr>
      <w:rFonts w:ascii="Times New Roman" w:hAnsi="Times New Roma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688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Nokia\Generation%20X+%20Research%20and%20Standardization%20Program%20(GX+)%20-%20RAN4%20SCG\RAN4%20meetings\RAN4%20110-bis%20Changsha\Templates\TDoc_Template_RAN4%23110bi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2E1AE7554B4541B915989E81A8B595" ma:contentTypeVersion="4" ma:contentTypeDescription="Create a new document." ma:contentTypeScope="" ma:versionID="259c6860b08037a14c008318e92d7896">
  <xsd:schema xmlns:xsd="http://www.w3.org/2001/XMLSchema" xmlns:xs="http://www.w3.org/2001/XMLSchema" xmlns:p="http://schemas.microsoft.com/office/2006/metadata/properties" xmlns:ns3="686429c2-ba17-4085-b5fb-a4b4ebcde64e" targetNamespace="http://schemas.microsoft.com/office/2006/metadata/properties" ma:root="true" ma:fieldsID="2ba79a0ec41a854b3e00d140bf53ebf4" ns3:_="">
    <xsd:import namespace="686429c2-ba17-4085-b5fb-a4b4ebcde64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429c2-ba17-4085-b5fb-a4b4ebcde6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AD1116-440B-48C9-9607-D6FE9F0C8A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6429c2-ba17-4085-b5fb-a4b4ebcde6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  <clbl:label id="{c921337c-1160-432a-b079-805f59112843}" enabled="0" method="" siteId="{c921337c-1160-432a-b079-805f5911284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TDoc_Template_RAN4#110bis.dotx</Template>
  <TotalTime>20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Links>
    <vt:vector size="24" baseType="variant">
      <vt:variant>
        <vt:i4>8060928</vt:i4>
      </vt:variant>
      <vt:variant>
        <vt:i4>15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1572914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_Toc161902223</vt:lpwstr>
      </vt:variant>
      <vt:variant>
        <vt:i4>1572914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_Toc161902222</vt:lpwstr>
      </vt:variant>
      <vt:variant>
        <vt:i4>1572914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_Toc161902221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Luz, Yuda</cp:lastModifiedBy>
  <cp:revision>5</cp:revision>
  <dcterms:created xsi:type="dcterms:W3CDTF">2024-05-07T18:20:00Z</dcterms:created>
  <dcterms:modified xsi:type="dcterms:W3CDTF">2024-05-12T20:08:00Z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0x010100B42E1AE7554B4541B915989E81A8B595</vt:lpwstr>
  </property>
  <property fmtid="{D5CDD505-2E9C-101B-9397-08002B2CF9AE}" pid="10" name="_dlc_DocIdItemGuid">
    <vt:lpwstr>c0df21ed-ac09-4618-8db5-3775ba1f1427</vt:lpwstr>
  </property>
  <property fmtid="{D5CDD505-2E9C-101B-9397-08002B2CF9AE}" pid="11" name="MediaServiceImageTags">
    <vt:lpwstr/>
  </property>
</Properties>
</file>